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E067" w14:textId="15D94D5D" w:rsid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АДМИНИСТРАТИВНЫЙ ИСК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 </w:t>
      </w: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 xml:space="preserve">о признании незаконными действий налогового органа </w:t>
      </w:r>
      <w:r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  <w:t xml:space="preserve">по корректировке лицевого счета </w:t>
      </w: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 об обязании устранить допущенные нарушения</w:t>
      </w:r>
    </w:p>
    <w:p w14:paraId="73A862C3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1FECC32F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Наименование суда: [наименование суда]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 суда: [адрес суда]</w:t>
      </w:r>
    </w:p>
    <w:p w14:paraId="7BB4DB61" w14:textId="77777777" w:rsid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908ADE7" w14:textId="1DE1D4FE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ИСТЕЦ: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организации]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БИН: [БИН истца]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истца]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истца]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истца, при наличии]</w:t>
      </w:r>
    </w:p>
    <w:p w14:paraId="128E81FB" w14:textId="77777777" w:rsid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3D0449DD" w14:textId="64510089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ПРЕДСТАВИТЕЛЬ ИСТЦА: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ИИН: [ИИН представителя]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представителя]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представителя]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E-mail: [e-mail представителя, при наличии]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Доверенность от «[дата]» № [номер]</w:t>
      </w:r>
    </w:p>
    <w:p w14:paraId="7BE60D1F" w14:textId="77777777" w:rsid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6892800B" w14:textId="001D377B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ОТВЕТЧИК: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государственного органа]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Адрес: [адрес ответчика]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Телефон: [телефон ответчика]</w:t>
      </w:r>
    </w:p>
    <w:p w14:paraId="60C340D9" w14:textId="77777777" w:rsid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val="ru-RU" w:eastAsia="ru-RU"/>
          <w14:ligatures w14:val="none"/>
        </w:rPr>
      </w:pPr>
    </w:p>
    <w:p w14:paraId="57472141" w14:textId="43925B3E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Государственная пошлина: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[сумма]</w:t>
      </w:r>
    </w:p>
    <w:p w14:paraId="5ED38CBC" w14:textId="3D9BB12E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74CAE521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АДМИНИСТРАТИВНЫЙ ИСК</w:t>
      </w:r>
    </w:p>
    <w:p w14:paraId="26C52537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о признании незаконными действий налогового органа и об обязании устранить допущенные нарушения</w:t>
      </w:r>
    </w:p>
    <w:p w14:paraId="74317CFA" w14:textId="18E8FE3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9948665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I. Обстоятельства, предшествующие спору</w:t>
      </w:r>
    </w:p>
    <w:p w14:paraId="41F4A908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Истец оспаривает законность действий ответчика, выразившихся в односторонней корректировке лицевого счета налогоплательщика от «[дата]» на сумму [сумма] тенге и последующем начислении пени. Данные действия привели к необоснованному увеличению налоговых обязательств и нарушению прав истца.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Истцом была направлена жалоба в вышестоящий орган, однако решение оставлено без удовлетворения.</w:t>
      </w:r>
    </w:p>
    <w:p w14:paraId="620577AA" w14:textId="3D6D48EA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06CC93D8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II. Обстоятельства дела</w:t>
      </w:r>
    </w:p>
    <w:p w14:paraId="71508C33" w14:textId="45733ACE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В «[дата]» году правопредшественник истца был реорганизован путем присоединения. Передаточный акт и решение о реорганизации были поданы в налоговый орган. На основании представленных документов положительное сальдо по налогу на добавленную стоимость (НДС) в размере [сумма] тенге было перенесено на лицевой счет истца.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Спустя более года налоговый орган произвел корректировку лицевого счета, исключив указанное сальдо и начислив НДС и пеню задним числом. Данные действия осуществлены без уведомления истца и без проведения налоговой проверки.</w:t>
      </w:r>
    </w:p>
    <w:p w14:paraId="3A1F6C5A" w14:textId="2493170B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628C7ADB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III. Правовое обоснование незаконности действий ответчика</w:t>
      </w:r>
    </w:p>
    <w:p w14:paraId="42520C4F" w14:textId="77777777" w:rsidR="005B00B6" w:rsidRPr="005B00B6" w:rsidRDefault="005B00B6" w:rsidP="005B00B6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Неправомерное применение п.8 ст.429 Налогового кодекса РК.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Указанная норма применяется при аннулировании регистрации по НДС, но не при реорганизации. В рассматриваемом случае снятие с учета произошло по причине присоединения, что исключает применение механизма списания превышения.</w:t>
      </w:r>
    </w:p>
    <w:p w14:paraId="60AF09FD" w14:textId="77777777" w:rsidR="005B00B6" w:rsidRPr="005B00B6" w:rsidRDefault="005B00B6" w:rsidP="005B00B6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Несоблюдение ст.62 Налогового кодекса РК о правопреемстве.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Правопреемник принимает на себя все налоговые права и обязательства реорганизованного лица, включая положительное сальдо по НДС. Налоговый орган не вправе аннулировать эти суммы без отмены решения о реорганизации.</w:t>
      </w:r>
    </w:p>
    <w:p w14:paraId="361F2034" w14:textId="77777777" w:rsidR="005B00B6" w:rsidRPr="005B00B6" w:rsidRDefault="005B00B6" w:rsidP="005B00B6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Отсутствие объекта налогообложения.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Корректировка произведена без наличия облагаемого оборота, что противоречит ст.368 НК РК и приводит к повторному налогообложению.</w:t>
      </w:r>
    </w:p>
    <w:p w14:paraId="632336F1" w14:textId="77777777" w:rsidR="005B00B6" w:rsidRPr="005B00B6" w:rsidRDefault="005B00B6" w:rsidP="005B00B6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Нарушение процедуры заслушивания (АППК РК).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Истец не был уведомлен о намерении произвести корректировку, что противоречит требованиям статей 22, 73, 74 АППК РК.</w:t>
      </w:r>
    </w:p>
    <w:p w14:paraId="58FFA366" w14:textId="77777777" w:rsidR="005B00B6" w:rsidRPr="005B00B6" w:rsidRDefault="005B00B6" w:rsidP="005B00B6">
      <w:pPr>
        <w:numPr>
          <w:ilvl w:val="0"/>
          <w:numId w:val="1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Нарушение принципа охраны доверия (ст.13 АППК РК).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  <w:t>Истец добросовестно полагался на законность действий налогового органа, который ранее подтвердил правомерность переноса сальдо. Позднейшая корректировка задним числом нарушает стабильность правового положения налогоплательщика.</w:t>
      </w:r>
    </w:p>
    <w:p w14:paraId="622C76D0" w14:textId="70A3BCA9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5ED705F1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IV. Выводы</w:t>
      </w:r>
    </w:p>
    <w:p w14:paraId="7A0BDC78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Ответчик вышел за пределы предоставленных полномочий и нарушил нормы Налогового кодекса и АППК РК. Действия по корректировке лицевого счета и начислению пени противоречат законодательству и принципам административного процесса.</w:t>
      </w:r>
    </w:p>
    <w:p w14:paraId="3415D357" w14:textId="548998B4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</w:p>
    <w:p w14:paraId="44599216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ПРОШУ СУД:</w:t>
      </w:r>
    </w:p>
    <w:p w14:paraId="3B463BE5" w14:textId="77777777" w:rsidR="005B00B6" w:rsidRPr="005B00B6" w:rsidRDefault="005B00B6" w:rsidP="005B00B6">
      <w:pPr>
        <w:numPr>
          <w:ilvl w:val="0"/>
          <w:numId w:val="2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Признать незаконными и отменить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действия [наименование ответчика], выразившиеся в корректировке лицевого счета от «[дата]» по налогу на добавленную стоимость на сумму [сумма] тенге и начислении пени.</w:t>
      </w:r>
    </w:p>
    <w:p w14:paraId="10749B3C" w14:textId="77777777" w:rsidR="005B00B6" w:rsidRPr="005B00B6" w:rsidRDefault="005B00B6" w:rsidP="005B00B6">
      <w:pPr>
        <w:numPr>
          <w:ilvl w:val="0"/>
          <w:numId w:val="2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Обязать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[наименование ответчика] устранить нарушение прав истца путем восстановления ранее отраженного положительного сальдо по НДС в размере [сумма] тенге и аннулирования начисленной суммы пени.</w:t>
      </w:r>
    </w:p>
    <w:p w14:paraId="6473F482" w14:textId="579229F0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F780368" w14:textId="77777777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outlineLvl w:val="3"/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Приложения:</w:t>
      </w:r>
    </w:p>
    <w:p w14:paraId="4A278100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Копия искового заявления для Ответчика.</w:t>
      </w:r>
    </w:p>
    <w:p w14:paraId="688CBD21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Квитанция об оплате государственной пошлины.</w:t>
      </w:r>
    </w:p>
    <w:p w14:paraId="7A409CE9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Копия передаточного акта о реорганизации.</w:t>
      </w:r>
    </w:p>
    <w:p w14:paraId="1BD09580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Копия решения о реорганизации.</w:t>
      </w:r>
    </w:p>
    <w:p w14:paraId="2C0416E9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Копия уведомления налогового органа.</w:t>
      </w:r>
    </w:p>
    <w:p w14:paraId="33EFA018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Выписка из лицевого счета.</w:t>
      </w:r>
    </w:p>
    <w:p w14:paraId="0ADD7C15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Копия жалобы в вышестоящий орган.</w:t>
      </w:r>
    </w:p>
    <w:p w14:paraId="6DEDF06B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Копия ответа на жалобу.</w:t>
      </w:r>
    </w:p>
    <w:p w14:paraId="5C2D1AF3" w14:textId="77777777" w:rsidR="005B00B6" w:rsidRPr="005B00B6" w:rsidRDefault="005B00B6" w:rsidP="005B00B6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after="0" w:line="240" w:lineRule="auto"/>
        <w:ind w:left="0" w:firstLine="0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>Доверенность представителя.</w:t>
      </w:r>
    </w:p>
    <w:p w14:paraId="496FD3A3" w14:textId="1D5FAFF6" w:rsidR="005B00B6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A37648C" w14:textId="7AEE26B0" w:rsidR="002F6AA2" w:rsidRPr="005B00B6" w:rsidRDefault="005B00B6" w:rsidP="005B00B6">
      <w:pPr>
        <w:tabs>
          <w:tab w:val="left" w:pos="426"/>
          <w:tab w:val="left" w:pos="709"/>
        </w:tabs>
        <w:spacing w:after="0" w:line="240" w:lineRule="auto"/>
        <w:rPr>
          <w:rFonts w:ascii="Arial" w:eastAsia="Times New Roman" w:hAnsi="Arial" w:cs="Arial"/>
          <w:kern w:val="0"/>
          <w:lang w:val="ru-RU" w:eastAsia="ru-RU"/>
          <w14:ligatures w14:val="none"/>
        </w:rPr>
      </w:pP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lastRenderedPageBreak/>
        <w:t>Подпись: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____________________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Дата: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«[дата]»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br/>
      </w:r>
      <w:r w:rsidRPr="005B00B6">
        <w:rPr>
          <w:rFonts w:ascii="Arial" w:eastAsia="Times New Roman" w:hAnsi="Arial" w:cs="Arial"/>
          <w:b/>
          <w:bCs/>
          <w:kern w:val="0"/>
          <w:lang w:eastAsia="ru-RU"/>
          <w14:ligatures w14:val="none"/>
        </w:rPr>
        <w:t>Ф.И.О. представителя:</w:t>
      </w:r>
      <w:r w:rsidRPr="005B00B6">
        <w:rPr>
          <w:rFonts w:ascii="Arial" w:eastAsia="Times New Roman" w:hAnsi="Arial" w:cs="Arial"/>
          <w:kern w:val="0"/>
          <w:lang w:eastAsia="ru-RU"/>
          <w14:ligatures w14:val="none"/>
        </w:rPr>
        <w:t xml:space="preserve"> [Ф.И.О. представителя]</w:t>
      </w:r>
    </w:p>
    <w:sectPr w:rsidR="002F6AA2" w:rsidRPr="005B0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362C7"/>
    <w:multiLevelType w:val="multilevel"/>
    <w:tmpl w:val="72CEC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03902"/>
    <w:multiLevelType w:val="multilevel"/>
    <w:tmpl w:val="97A4D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B06CB2"/>
    <w:multiLevelType w:val="multilevel"/>
    <w:tmpl w:val="7FCC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671365">
    <w:abstractNumId w:val="1"/>
  </w:num>
  <w:num w:numId="2" w16cid:durableId="2055083690">
    <w:abstractNumId w:val="2"/>
  </w:num>
  <w:num w:numId="3" w16cid:durableId="1709522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B6"/>
    <w:rsid w:val="002F6AA2"/>
    <w:rsid w:val="005B00B6"/>
    <w:rsid w:val="00772601"/>
    <w:rsid w:val="007B643B"/>
    <w:rsid w:val="00913E27"/>
    <w:rsid w:val="009B69A8"/>
    <w:rsid w:val="00BC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570F"/>
  <w15:chartTrackingRefBased/>
  <w15:docId w15:val="{286CF0F7-E9B1-204A-9586-45410E3C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0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0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B0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B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B00B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00B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00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00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00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00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0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0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00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00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00B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00B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00B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B0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5B00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Yerkebulan Alibaev</dc:creator>
  <cp:keywords/>
  <dc:description/>
  <cp:lastModifiedBy>Yerkebulan Alibaev</cp:lastModifiedBy>
  <cp:revision>1</cp:revision>
  <dcterms:created xsi:type="dcterms:W3CDTF">2025-10-21T05:51:00Z</dcterms:created>
  <dcterms:modified xsi:type="dcterms:W3CDTF">2025-10-21T05:54:00Z</dcterms:modified>
</cp:coreProperties>
</file>